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2258-B</w:t>
        <w:t xml:space="preserve">.  </w:t>
      </w:r>
      <w:r>
        <w:rPr>
          <w:b/>
        </w:rPr>
        <w:t xml:space="preserve">Dispensing opioid medication to patients in opioid treatment programs</w:t>
      </w:r>
    </w:p>
    <w:p>
      <w:pPr>
        <w:jc w:val="both"/>
        <w:spacing w:before="100" w:after="100"/>
        <w:ind w:start="360"/>
        <w:ind w:firstLine="360"/>
      </w:pPr>
      <w:r>
        <w:rPr/>
      </w:r>
      <w:r>
        <w:rPr/>
      </w:r>
      <w:r>
        <w:t xml:space="preserve">A licensed practical nurse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§2 (NEW). PL 2017, c. 407, Pt. A,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§2258-B. Dispensing opioid medication to patients in opioid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§2258-B. Dispensing opioid medication to patients in opioid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§2258-B. DISPENSING OPIOID MEDICATION TO PATIENTS IN OPIOID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