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§3 (RP).]</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practice, or profess to be authorized to practice occupational therapy, as an occupational therapist or occupational therapy assistant in this State or use the words "occupational therapist," "licensed occupational therapist," "occupational therapy assistant" or "licensed occupational therapy assistant" or the letters "O.T.," "O.T.A.," or other words or letters to indicate that the person using the words or letters is a licensed occupational therapist or licensed occupational therapy assistant, or that may misrepresent to the public that the person has received formalized training in the field of occupational therapy, unless that person is licensed in accordance with this chapter.</w:t>
      </w:r>
    </w:p>
    <w:p>
      <w:pPr>
        <w:jc w:val="both"/>
        <w:spacing w:before="100" w:after="0"/>
        <w:ind w:start="360"/>
      </w:pPr>
      <w:r>
        <w:rPr/>
      </w:r>
      <w:r>
        <w:rPr/>
      </w:r>
      <w:r>
        <w:t xml:space="preserve">This subsection is not intended to prohibit occupational therapy students and occupational therapy assistant students completing fieldwork from using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§10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1987, c. 597, §4 (AMD). PL 1997, c. 294, §3 (AMD). PL 1999, c. 386, §I2 (AMD). PL 1999, c. 547, §B78 (AMD). PL 1999, c. 547, §B80 (AFF). PL 2003, c. 452, §R4 (AMD). PL 2003, c. 452, §X2 (AFF). PL 2007, c. 402, Pt. L, §4 (AMD). PL 2019, c. 287,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§2276.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§2276.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