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1991, c. 425, §§9,10 (AMD). PL 1993, c. 600, §A186 (AMD). PL 2001, c. 492, §§7,8 (AMD). PL 2013, c. 101, §4 (AMD). PL 2015, c. 242,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