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§288. BOARD OF LICENSING OF AUCTIONEERS;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