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294</w:t>
        <w:t xml:space="preserve">.  </w:t>
      </w:r>
      <w:r>
        <w:rPr>
          <w:b/>
        </w:rPr>
        <w:t xml:space="preserve">Nonresident licensure</w:t>
      </w:r>
    </w:p>
    <w:p>
      <w:pPr>
        <w:jc w:val="both"/>
        <w:spacing w:before="100" w:after="100"/>
        <w:ind w:start="360"/>
        <w:ind w:firstLine="360"/>
      </w:pPr>
      <w:r>
        <w:rPr>
          <w:b/>
        </w:rPr>
        <w:t>1</w:t>
        <w:t xml:space="preserve">.  </w:t>
      </w:r>
      <w:r>
        <w:rPr>
          <w:b/>
        </w:rPr>
        <w:t xml:space="preserve">Nonresident license.</w:t>
        <w:t xml:space="preserve"> </w:t>
      </w:r>
      <w:r>
        <w:t xml:space="preserve"> </w:t>
      </w:r>
      <w:r>
        <w:t xml:space="preserve">Every nonresident person desiring to do business as an auctioneer in this State shall obtain a license.  The board may issue a license to any nonresident upon fulfillment of the same application requirements as those set forth for resident auctioneers.  In addition, a nonresident applicant shall furnish the following:</w:t>
      </w:r>
    </w:p>
    <w:p>
      <w:pPr>
        <w:jc w:val="both"/>
        <w:spacing w:before="100" w:after="0"/>
        <w:ind w:start="720"/>
      </w:pPr>
      <w:r>
        <w:rPr/>
        <w:t>A</w:t>
        <w:t xml:space="preserve">.  </w:t>
      </w:r>
      <w:r>
        <w:rPr/>
      </w:r>
      <w:r>
        <w:t xml:space="preserve">A certificate of good standing from each jurisdiction where the applicant is licensed.</w:t>
      </w:r>
      <w:r>
        <w:t xml:space="preserve">  </w:t>
      </w:r>
      <w:r xmlns:wp="http://schemas.openxmlformats.org/drawingml/2010/wordprocessingDrawing" xmlns:w15="http://schemas.microsoft.com/office/word/2012/wordml">
        <w:rPr>
          <w:rFonts w:ascii="Arial" w:hAnsi="Arial" w:cs="Arial"/>
          <w:sz w:val="22"/>
          <w:szCs w:val="22"/>
        </w:rPr>
        <w:t xml:space="preserve">[RR 2021, c. 2, Pt. A, §114 (COR).]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217, Pt. K,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§114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PL 2011, c. 286, Pt. B, §5 (REV). PL 2013, c. 217, Pt. K, §1 (AMD). RR 2021, c. 2, Pt. A, §114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§294. Nonresident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§294. Nonresident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§294. NONRESIDENT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