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3270-F</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§3270-F. Exemption for licensed person accompanying visiting athletic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§3270-F. Exemption for licensed person accompanying visiting athletic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§3270-F. EXEMPTION FOR LICENSED PERSON ACCOMPANYING VISITING ATHLETIC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