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3504-A</w:t>
        <w:t xml:space="preserve">.  </w:t>
      </w:r>
      <w:r>
        <w:rPr>
          <w:b/>
        </w:rPr>
        <w:t xml:space="preserve">Reciprocity</w:t>
      </w:r>
    </w:p>
    <w:p>
      <w:pPr>
        <w:jc w:val="both"/>
        <w:spacing w:before="100" w:after="100"/>
        <w:ind w:start="360"/>
        <w:ind w:firstLine="360"/>
      </w:pPr>
      <w:r>
        <w:rPr/>
      </w:r>
      <w:r>
        <w:rPr/>
      </w:r>
      <w:r>
        <w:t xml:space="preserve">The board shall issue a license to any person who files a sworn application and who is licensed under the laws of another state or territory of the United States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1999, c. 386, Pt. 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§L11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§3504-A.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§3504-A.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§3504-A.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