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 UNLICENSED PRACTICE;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