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4159</w:t>
        <w:t xml:space="preserve">.  </w:t>
      </w:r>
      <w:r>
        <w:rPr>
          <w:b/>
        </w:rPr>
        <w:t xml:space="preserve">Sale or packing of herring</w:t>
      </w:r>
    </w:p>
    <w:p>
      <w:pPr>
        <w:jc w:val="both"/>
        <w:spacing w:before="100" w:after="100"/>
        <w:ind w:start="360"/>
      </w:pPr>
      <w:r>
        <w:rPr>
          <w:b/>
        </w:rPr>
        <w:t>(REPEALED)</w:t>
      </w:r>
    </w:p>
    <w:p>
      <w:pPr>
        <w:jc w:val="both"/>
        <w:spacing w:before="100" w:after="100"/>
        <w:ind w:start="360"/>
      </w:pPr>
      <w:r>
        <w:rPr>
          <w:b/>
        </w:rPr>
        <w:t>(REALLOCATED TO TITLE 12, SECTION 6547)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274 (AMD). PL 1971, c. 290 (AMD). PL 1975, c. 44, §§1,2 (AMD). PL 1983, c. 387, §2 (AMD). PL 1985, c. 268, §6 (AMD). PL 1989, c. 482, §2 (RPR). PL 1991, c. 446, §A8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§4159. Sale or packing of herring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§4159. Sale or packing of herring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§4159. SALE OR PACKING OF HERRING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