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4179</w:t>
        <w:t xml:space="preserve">.  </w:t>
      </w:r>
      <w:r>
        <w:rPr>
          <w:b/>
        </w:rPr>
        <w:t xml:space="preserve">Rules</w:t>
      </w:r>
    </w:p>
    <w:p>
      <w:pPr>
        <w:jc w:val="both"/>
        <w:spacing w:before="100" w:after="100"/>
        <w:ind w:start="360"/>
        <w:ind w:firstLine="360"/>
      </w:pPr>
      <w:r>
        <w:rPr/>
      </w:r>
      <w:r>
        <w:rPr/>
      </w:r>
      <w:r>
        <w:t xml:space="preserve">The department shall adopt rules to administer this chapter that include, but are not limited to, provisions establishing the basis for classification of wastewater treatment plants in accordance with </w:t>
      </w:r>
      <w:r>
        <w:t>section 4172</w:t>
      </w:r>
      <w:r>
        <w:t xml:space="preserve"> and provisions establishing requirements for examinations, qualifications and ethical standards required of candidates to obtain certification.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1977, c. 300, §8 (RPR). PL 1989, c. 890, Pt. A, §7 (AMD). PL 1989, c. 890, Pt. A, §40 (AFF). PL 2017, c. 137, Pt. A, §3 (AMD). PL 2019, c. 315, §2 (AMD). PL 2021, c. 173,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§4179.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