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Exemptions</w:t>
      </w:r>
    </w:p>
    <w:p>
      <w:pPr>
        <w:jc w:val="both"/>
        <w:spacing w:before="100" w:after="100"/>
        <w:ind w:start="360"/>
        <w:ind w:firstLine="360"/>
      </w:pPr>
      <w:r>
        <w:rPr/>
      </w:r>
      <w:r>
        <w:rPr/>
      </w:r>
      <w:r>
        <w:t xml:space="preserve">This chapter is not intended to apply to any act of a practitioner of the healing arts licensed in the State and performed in the course of his practice.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