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4324</w:t>
        <w:t xml:space="preserve">.  </w:t>
      </w:r>
      <w:r>
        <w:rPr>
          <w:b/>
        </w:rPr>
        <w:t xml:space="preserve">License required</w:t>
      </w:r>
    </w:p>
    <w:p>
      <w:pPr>
        <w:jc w:val="both"/>
        <w:spacing w:before="100" w:after="100"/>
        <w:ind w:start="360"/>
        <w:ind w:firstLine="360"/>
      </w:pPr>
      <w:r>
        <w:rPr/>
      </w:r>
      <w:r>
        <w:rPr/>
      </w:r>
      <w:r>
        <w:t xml:space="preserve">A person may not engage in the art of body piercing without first obtaining a license from the department.</w:t>
      </w:r>
      <w:r>
        <w:t xml:space="preserve">  </w:t>
      </w:r>
      <w:r xmlns:wp="http://schemas.openxmlformats.org/drawingml/2010/wordprocessingDrawing" xmlns:w15="http://schemas.microsoft.com/office/word/2012/wordml">
        <w:rPr>
          <w:rFonts w:ascii="Arial" w:hAnsi="Arial" w:cs="Arial"/>
          <w:sz w:val="22"/>
          <w:szCs w:val="22"/>
        </w:rPr>
        <w:t xml:space="preserve">[PL 1997, c. 206, §1 (NEW).]</w:t>
      </w:r>
    </w:p>
    <w:p>
      <w:pPr>
        <w:jc w:val="both"/>
        <w:spacing w:before="100" w:after="0"/>
        <w:ind w:start="360"/>
        <w:ind w:firstLine="360"/>
      </w:pPr>
      <w:r>
        <w:rPr>
          <w:b/>
        </w:rPr>
        <w:t>1</w:t>
        <w:t xml:space="preserve">.  </w:t>
      </w:r>
      <w:r>
        <w:rPr>
          <w:b/>
        </w:rPr>
        <w:t xml:space="preserve">License renewal.</w:t>
        <w:t xml:space="preserve"> </w:t>
      </w:r>
      <w:r>
        <w:t xml:space="preserve"> </w:t>
      </w:r>
      <w:r>
        <w:t xml:space="preserve">A license under this chapter may be renewed annually upon payment of the prescribed fee, including late fees, additional inspection fees and fines if assessed and subject to compliance with rules of the department and this chapter. The department shall provide licensees with notice of the need for renewal and necessary forms no less than 30 days prior to the expiration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§35 (NEW).]</w:t>
      </w:r>
    </w:p>
    <w:p>
      <w:pPr>
        <w:jc w:val="both"/>
        <w:spacing w:before="100" w:after="0"/>
        <w:ind w:start="360"/>
        <w:ind w:firstLine="360"/>
      </w:pPr>
      <w:r>
        <w:rPr>
          <w:b/>
        </w:rPr>
        <w:t>2</w:t>
        <w:t xml:space="preserve">.  </w:t>
      </w:r>
      <w:r>
        <w:rPr>
          <w:b/>
        </w:rPr>
        <w:t xml:space="preserve">Conditional license.</w:t>
        <w:t xml:space="preserve"> </w:t>
      </w:r>
      <w:r>
        <w:t xml:space="preserve"> </w:t>
      </w:r>
      <w:r>
        <w:t xml:space="preserve">When an applicant for initial licensure or license renewal is found, based upon an inspection by the department, not in compliance with this chapter or rules adopted pursuant to </w:t>
      </w:r>
      <w:r>
        <w:t>section 4326</w:t>
      </w:r>
      <w:r>
        <w:t xml:space="preserve">, the department may refuse issuance of the initial or renewal license, but shall issue a conditional license, except when conditions are found that present a serious danger to the health and safety of the public.  Failure by the conditional licensee to meet the conditions specified by the department permits the department to void the conditional license.  The applicant may reapply for an annual license if the conditional license is voided or expires; however, the department may not reissue another conditional license.  All conditions must be met in order for an applicant to reapply for and be issued an annual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§36 (NEW).]</w:t>
      </w:r>
    </w:p>
    <w:p>
      <w:pPr>
        <w:jc w:val="both"/>
        <w:spacing w:before="100" w:after="0"/>
        <w:ind w:start="360"/>
        <w:ind w:firstLine="360"/>
      </w:pPr>
      <w:r>
        <w:rPr>
          <w:b/>
        </w:rPr>
        <w:t>3</w:t>
        <w:t xml:space="preserve">.  </w:t>
      </w:r>
      <w:r>
        <w:rPr>
          <w:b/>
        </w:rPr>
        <w:t xml:space="preserve">Additional inspection fees.</w:t>
        <w:t xml:space="preserve"> </w:t>
      </w:r>
      <w:r>
        <w:t xml:space="preserve"> </w:t>
      </w:r>
      <w:r>
        <w:t xml:space="preserve">When an additional inspection is required to determine an applicant's eligibility for licensure, the department is authorized to charge, in addition to the usual fees under </w:t>
      </w:r>
      <w:r>
        <w:t>section 4325</w:t>
      </w:r>
      <w:r>
        <w:t xml:space="preserve"> for one license, one licensure inspection and one follow-up inspection, an additional fee not to exceed $200 to cover the costs of each additional inspection or visit.  The department may impose on the applicant a penalty assessment for the applicant's failure to pay an additional inspection fee within 30 days of the billing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206, §1 (NEW). PL 2021, c. 125, §§35-37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§4324.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§4324.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§4324.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