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4700-L</w:t>
        <w:t xml:space="preserve">.  </w:t>
      </w:r>
      <w:r>
        <w:rPr>
          <w:b/>
        </w:rPr>
        <w:t xml:space="preserve">Penalties</w:t>
      </w:r>
    </w:p>
    <w:p>
      <w:pPr>
        <w:jc w:val="both"/>
        <w:spacing w:before="100" w:after="0"/>
        <w:ind w:start="360"/>
        <w:ind w:firstLine="360"/>
      </w:pPr>
      <w:r>
        <w:rPr>
          <w:b/>
        </w:rPr>
        <w:t>1</w:t>
        <w:t xml:space="preserve">.  </w:t>
      </w:r>
      <w:r>
        <w:rPr>
          <w:b/>
        </w:rPr>
        <w:t xml:space="preserve">Fine.</w:t>
        <w:t xml:space="preserve"> </w:t>
      </w:r>
      <w:r>
        <w:t xml:space="preserve"> </w:t>
      </w:r>
      <w:r>
        <w:t xml:space="preserve">A person, company, firm, partnership or corporation who installs, alters, repairs or replaces a water well, geothermal heat exchange well or pump system without being licensed as provided in this chapter or in violation of the code of performance adopted by the commission pursuant to </w:t>
      </w:r>
      <w:r>
        <w:t>section 4700‑H, subsection 5</w:t>
      </w:r>
      <w:r>
        <w:t xml:space="preserve">, except for an apprentice well driller or an apprentice pump installer as set forth in this chapter, or a person, firm, partnership or corporation who procures a license as provided in this chapter wrongfully or by fraud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§115 (COR).]</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action in Superior Court to enjoin any person, firm, partnership or corporation from violating this chapter, regardless of whether proceedings have been or may be instituted in the District Court or whether civil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§12 (NEW).]</w:t>
      </w:r>
    </w:p>
    <w:p>
      <w:pPr>
        <w:jc w:val="both"/>
        <w:spacing w:before="100" w:after="0"/>
        <w:ind w:start="360"/>
        <w:ind w:firstLine="360"/>
      </w:pPr>
      <w:r>
        <w:rPr>
          <w:b/>
        </w:rPr>
        <w:t>3</w:t>
        <w:t xml:space="preserve">.  </w:t>
      </w:r>
      <w:r>
        <w:rPr>
          <w:b/>
        </w:rPr>
        <w:t xml:space="preserve">Exclusion.</w:t>
        <w:t xml:space="preserve"> </w:t>
      </w:r>
      <w:r>
        <w:t xml:space="preserve"> </w:t>
      </w:r>
      <w:r>
        <w:t xml:space="preserve">This chapter does not prevent a person from making water well, geothermal heat exchange well or pump system installations, alterations, repairs or replacements in a single-family residence occupied by that person or to be occupied by that person as a bona fide personal abode as long as the installation, alteration, repair or replacement conforms to the standards set forth in this chapter and any rules adopted by the commission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2001, c. 209, §B12 (RPR). PL 2009, c. 153, §§23, 24 (AMD). RR 2021, c. 2, Pt. A, §115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§4700-L.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