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6100-D</w:t>
        <w:t xml:space="preserve">.  </w:t>
      </w:r>
      <w:r>
        <w:rPr>
          <w:b/>
        </w:rPr>
        <w:t xml:space="preserve">Bank Secrecy Act reports</w:t>
      </w:r>
    </w:p>
    <w:p>
      <w:pPr>
        <w:jc w:val="both"/>
        <w:spacing w:before="100" w:after="100"/>
        <w:ind w:start="360"/>
        <w:ind w:firstLine="360"/>
      </w:pPr>
      <w:r>
        <w:rPr/>
      </w:r>
      <w:r>
        <w:rPr/>
      </w:r>
      <w:r>
        <w:t xml:space="preserve">A licensee and an authorized delegate shall file all reports required by federal currency reporting, record-keeping and suspicious activity reporting requirements as set forth in the Bank Secrecy Act and other federal and state laws pertaining to money laundering. The timely filing of a complete and accurate report required under this section with the appropriate federal agency is deemed 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§6100-D. Bank Secrecy Act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§6100-D. Bank Secrecy Act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§6100-D. BANK SECRECY ACT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