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6100-I</w:t>
        <w:t xml:space="preserve">.  </w:t>
      </w:r>
      <w:r>
        <w:rPr>
          <w:b/>
        </w:rPr>
        <w:t xml:space="preserve">Unauthorized activities</w:t>
      </w:r>
    </w:p>
    <w:p>
      <w:pPr>
        <w:jc w:val="both"/>
        <w:spacing w:before="100" w:after="100"/>
        <w:ind w:start="360"/>
        <w:ind w:firstLine="360"/>
      </w:pPr>
      <w:r>
        <w:rPr/>
      </w:r>
      <w:r>
        <w:rPr/>
      </w:r>
      <w:r>
        <w:t xml:space="preserve">A person may not engage in the business of money transmission on behalf of a person not licensed under this Act or not exempt pursuant to subchapter 3. A person that engages in the business of money transmission on behalf of such a person provides money transmission to the same extent as if the person were a licensee and is jointly and severally liable with the unlicensed or nonexempt person.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§6100-I. Unauthorized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§6100-I. Unauthorized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§6100-I. UNAUTHORIZED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