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6100-R</w:t>
        <w:t xml:space="preserve">.  </w:t>
      </w:r>
      <w:r>
        <w:rPr>
          <w:b/>
        </w:rPr>
        <w:t xml:space="preserve">Net worth</w:t>
      </w:r>
    </w:p>
    <w:p>
      <w:pPr>
        <w:jc w:val="both"/>
        <w:spacing w:before="100" w:after="100"/>
        <w:ind w:start="360"/>
        <w:ind w:firstLine="360"/>
      </w:pPr>
      <w:r>
        <w:rPr/>
      </w:r>
      <w:r>
        <w:rPr/>
      </w:r>
      <w:r>
        <w:t xml:space="preserve">Net worth requirements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Tangible net worth.</w:t>
        <w:t xml:space="preserve"> </w:t>
      </w:r>
      <w:r>
        <w:t xml:space="preserve"> </w:t>
      </w:r>
      <w:r>
        <w:t xml:space="preserve">A licensee under this Act shall maintain at all times a tangible net worth of the greater of $100,000 and 3% of total assets for the first $100,000,000, 2% of additional assets for $100,000,000 to $1,000,000,000 and 0.5% of additional assets for over $1,000,000,000.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Tangible net worth must be demonstrated at initial application by the applicant’s most recent audited or unaudited financial statements pursuant to </w:t>
      </w:r>
      <w:r>
        <w:t>section 6089, subsection 2,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this section, the administrator may, for good cause shown, exempt, in whole or in part, from the requirements of this section any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§6100-R. Net worth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§6100-R. Net worth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§6100-R. NET WORTH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