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w:t>
        <w:t xml:space="preserve">.  </w:t>
      </w:r>
      <w:r>
        <w:rPr>
          <w:b/>
        </w:rPr>
        <w:t xml:space="preserve">Examinations</w:t>
      </w:r>
    </w:p>
    <w:p>
      <w:pPr>
        <w:jc w:val="both"/>
        <w:spacing w:before="100" w:after="0"/>
        <w:ind w:start="360"/>
        <w:ind w:firstLine="360"/>
      </w:pPr>
      <w:r>
        <w:rPr>
          <w:b/>
        </w:rPr>
        <w:t>1</w:t>
        <w:t xml:space="preserve">.  </w:t>
      </w:r>
      <w:r>
        <w:rPr>
          <w:b/>
        </w:rPr>
        <w:t xml:space="preserve">Examination.</w:t>
        <w:t xml:space="preserve"> </w:t>
      </w:r>
      <w:r>
        <w:t xml:space="preserve"> </w:t>
      </w:r>
      <w:r>
        <w:t xml:space="preserve">The administrator may examine the books, accounts and records of an applicant or registrant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of the administrator necessarily incurred in the examination or investigation of any applicant or registrant are chargeable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§6140.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§6140.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