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6207-A</w:t>
        <w:t xml:space="preserve">.  </w:t>
      </w:r>
      <w:r>
        <w:rPr>
          <w:b/>
        </w:rPr>
        <w:t xml:space="preserve">License required</w:t>
      </w:r>
    </w:p>
    <w:p>
      <w:pPr>
        <w:jc w:val="both"/>
        <w:spacing w:before="100" w:after="100"/>
        <w:ind w:start="360"/>
        <w:ind w:firstLine="360"/>
      </w:pPr>
      <w:r>
        <w:rPr/>
      </w:r>
      <w:r>
        <w:rPr/>
      </w:r>
      <w:r>
        <w:t xml:space="preserve">Unless exempted under </w:t>
      </w:r>
      <w:r>
        <w:t>section 6206</w:t>
      </w:r>
      <w:r>
        <w:t xml:space="preserve">, a person may not practice alcohol and drug counseling or begin an apprenticeship in this State unless that person has first obtained a license, certification or registration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347, §7 (NEW); PL 2003, c. 347,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§7 (NEW). PL 2003, c. 347,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§6207-A.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§6207-A.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§6207-A.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