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License required to maintain action or counterclaim</w:t>
      </w:r>
    </w:p>
    <w:p>
      <w:pPr>
        <w:jc w:val="both"/>
        <w:spacing w:before="100" w:after="100"/>
        <w:ind w:start="360"/>
        <w:ind w:firstLine="360"/>
      </w:pPr>
      <w:r>
        <w:rPr/>
      </w:r>
      <w:r>
        <w:rPr/>
      </w:r>
      <w:r>
        <w:t xml:space="preserve">A person may not maintain an action or counterclaim against another person in a court in this State with respect to an agreement for or the performance of a service for which a license is required by this chapter, including the recovery of any compensation under the agreement or for the service, unless the person alleges and proves that the other person was licensed at the time of making the agreement or performing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§7354. License required to maintain action or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License required to maintain action or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§7354. LICENSE REQUIRED TO MAINTAIN ACTION OR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