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8102</w:t>
        <w:t xml:space="preserve">.  </w:t>
      </w:r>
      <w:r>
        <w:rPr>
          <w:b/>
        </w:rPr>
        <w:t xml:space="preserve">Purpose</w:t>
      </w:r>
    </w:p>
    <w:p>
      <w:pPr>
        <w:jc w:val="both"/>
        <w:spacing w:before="100" w:after="100"/>
        <w:ind w:start="360"/>
        <w:ind w:firstLine="360"/>
      </w:pPr>
      <w:r>
        <w:rPr/>
      </w:r>
      <w:r>
        <w:rPr/>
      </w:r>
      <w:r>
        <w:t xml:space="preserve">The purpose of this chapter is to regulate any person, firm, corporation or other legal entity  engaged in the business of private  investigation.</w:t>
      </w:r>
      <w:r>
        <w:t xml:space="preserve">  </w:t>
      </w:r>
      <w:r xmlns:wp="http://schemas.openxmlformats.org/drawingml/2010/wordprocessingDrawing" xmlns:w15="http://schemas.microsoft.com/office/word/2012/wordml">
        <w:rPr>
          <w:rFonts w:ascii="Arial" w:hAnsi="Arial" w:cs="Arial"/>
          <w:sz w:val="22"/>
          <w:szCs w:val="22"/>
        </w:rPr>
        <w:t xml:space="preserve">[PL 2011, c. 366,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126, §2 (NEW). PL 2011, c. 366,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§8102.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§8102.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§8102.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