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9402</w:t>
        <w:t xml:space="preserve">.  </w:t>
      </w:r>
      <w:r>
        <w:rPr>
          <w:b/>
        </w:rPr>
        <w:t xml:space="preserve">Purpose</w:t>
      </w:r>
    </w:p>
    <w:p>
      <w:pPr>
        <w:jc w:val="both"/>
        <w:spacing w:before="100" w:after="100"/>
        <w:ind w:start="360"/>
        <w:ind w:firstLine="360"/>
      </w:pPr>
      <w:r>
        <w:rPr/>
      </w:r>
      <w:r>
        <w:rPr/>
      </w:r>
      <w:r>
        <w:t xml:space="preserve">It is the purpose of this chapter to regulate any person engaging in the business of providing a private security guard or private security guards.</w:t>
      </w:r>
      <w:r>
        <w:t xml:space="preserve">  </w:t>
      </w:r>
      <w:r xmlns:wp="http://schemas.openxmlformats.org/drawingml/2010/wordprocessingDrawing" xmlns:w15="http://schemas.microsoft.com/office/word/2012/wordml">
        <w:rPr>
          <w:rFonts w:ascii="Arial" w:hAnsi="Arial" w:cs="Arial"/>
          <w:sz w:val="22"/>
          <w:szCs w:val="22"/>
        </w:rPr>
        <w:t xml:space="preserve">[PL 1981, c. 113,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113,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§9402.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§9402.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