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43. PLACEMENT OF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