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w:t>
        <w:t xml:space="preserve">.  </w:t>
      </w:r>
      <w:r>
        <w:rPr>
          <w:b/>
        </w:rPr>
        <w:t xml:space="preserve">Supersession</w:t>
      </w:r>
    </w:p>
    <w:p>
      <w:pPr>
        <w:jc w:val="both"/>
        <w:spacing w:before="100" w:after="100"/>
        <w:ind w:start="360"/>
        <w:ind w:firstLine="360"/>
      </w:pPr>
      <w:r>
        <w:rPr/>
      </w:r>
      <w:r>
        <w:rPr/>
      </w:r>
      <w:r>
        <w:t xml:space="preserve">This chapter supersedes the rule of the common law known as the rule against perpetuities and it replaces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§118. Supersession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 Supersession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§118. SUPERSESSION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