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Legislative intent,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§1201. LEGISLATIVE INTENT,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