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Exemption</w:t>
      </w:r>
    </w:p>
    <w:p>
      <w:pPr>
        <w:jc w:val="both"/>
        <w:spacing w:before="100" w:after="100"/>
        <w:ind w:start="360"/>
        <w:ind w:firstLine="360"/>
      </w:pPr>
      <w:r>
        <w:rPr/>
      </w:r>
      <w:r>
        <w:rPr/>
      </w:r>
      <w:r>
        <w:t xml:space="preserve">Any coastal island that has 4 or more residential structures thereon is exempted from this chapter, provided that such property is on the tax rolls of a municipality or of the State.</w:t>
      </w:r>
      <w:r>
        <w:t xml:space="preserve">  </w:t>
      </w:r>
      <w:r xmlns:wp="http://schemas.openxmlformats.org/drawingml/2010/wordprocessingDrawing" xmlns:w15="http://schemas.microsoft.com/office/word/2012/wordml">
        <w:rPr>
          <w:rFonts w:ascii="Arial" w:hAnsi="Arial" w:cs="Arial"/>
          <w:sz w:val="22"/>
          <w:szCs w:val="22"/>
        </w:rPr>
        <w:t xml:space="preserve">[PL 1975, c. 509,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§167B (AMD). PL 1975, c. 509,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§1210.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