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1217</w:t>
        <w:t xml:space="preserve">.  </w:t>
      </w:r>
      <w:r>
        <w:rPr>
          <w:b/>
        </w:rPr>
        <w:t xml:space="preserve">Fees</w:t>
      </w:r>
    </w:p>
    <w:p>
      <w:pPr>
        <w:jc w:val="both"/>
        <w:spacing w:before="100" w:after="100"/>
        <w:ind w:start="360"/>
        <w:ind w:firstLine="360"/>
      </w:pPr>
      <w:r>
        <w:rPr/>
      </w:r>
      <w:r>
        <w:rPr/>
      </w:r>
      <w:r>
        <w:t xml:space="preserve">All registration fees except those designated for registers of deeds shall be used to carry out the purposes of this chapter. The Director of the Bureau of Parks and Lands is authorized to accept funding from federal or other public or private sources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509, §12 (AMD); PL 1995, c. 502, Pt. E, §30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§18 (AMD). PL 1973, c. 616, §1 (NEW). PL 1975, c. 509, §12 (AMD). PL 1995, c. 502, §E30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§1217.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§1217.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§1217.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