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Conveyance of greater estate, conveys only interest  owned</w:t>
      </w:r>
    </w:p>
    <w:p>
      <w:pPr>
        <w:jc w:val="both"/>
        <w:spacing w:before="100" w:after="100"/>
        <w:ind w:start="360"/>
        <w:ind w:firstLine="360"/>
      </w:pPr>
      <w:r>
        <w:rPr/>
      </w:r>
      <w:r>
        <w:rPr/>
      </w:r>
      <w:r>
        <w:t xml:space="preserve">A conveyance of a greater estate than he can lawfully convey, made by a tenant for life or years, will pass what estate he has and will not work a forfeiture, and no expectant estate can be defeated by any act of the owner of the precedent estate or by any destruction of it, except as provided in </w:t>
      </w:r>
      <w:r>
        <w:t>section 156</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 Conveyance of greater estate, conveys only interest  owned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Conveyance of greater estate, conveys only interest  owned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§157. CONVEYANCE OF GREATER ESTATE, CONVEYS ONLY INTEREST  OWNED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