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Judicial actions</w:t>
      </w:r>
    </w:p>
    <w:p>
      <w:pPr>
        <w:jc w:val="both"/>
        <w:spacing w:before="100" w:after="0"/>
        <w:ind w:start="360"/>
        <w:ind w:firstLine="360"/>
      </w:pPr>
      <w:r>
        <w:rPr>
          <w:b/>
        </w:rPr>
        <w:t>1</w:t>
        <w:t xml:space="preserve">.  </w:t>
      </w:r>
      <w:r>
        <w:rPr>
          <w:b/>
        </w:rPr>
        <w:t xml:space="preserve">Action or intervention.</w:t>
        <w:t xml:space="preserve"> </w:t>
      </w:r>
      <w:r>
        <w:t xml:space="preserve"> </w:t>
      </w:r>
      <w:r>
        <w:t xml:space="preserve">An owner of an interest in the real property burdened by a trail easement or a holder of the trail easement may bring or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Intervention only.</w:t>
        <w:t xml:space="preserve"> </w:t>
      </w:r>
      <w:r>
        <w:t xml:space="preserve"> </w:t>
      </w:r>
      <w:r>
        <w:t xml:space="preserve">The State or a political subdivision of the State in which the real property burdened by a trail easement is located may intervene in an action affecting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3</w:t>
        <w:t xml:space="preserve">.  </w:t>
      </w:r>
      <w:r>
        <w:rPr>
          <w:b/>
        </w:rPr>
        <w:t xml:space="preserve">Power of court.</w:t>
        <w:t xml:space="preserve"> </w:t>
      </w:r>
      <w:r>
        <w:t xml:space="preserve"> </w:t>
      </w:r>
      <w:r>
        <w:t xml:space="preserve">This chapter does not affect the power of a court to enforce a trail easement by injunction or proceeding in equity or to modify a trail easement in accordance with principles of law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§1583.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§1583.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