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1602-108</w:t>
        <w:t xml:space="preserve">.  </w:t>
      </w:r>
      <w:r>
        <w:rPr>
          <w:b/>
        </w:rPr>
        <w:t xml:space="preserve">Limited common elements</w:t>
      </w:r>
    </w:p>
    <w:p>
      <w:pPr>
        <w:jc w:val="both"/>
        <w:spacing w:before="100" w:after="100"/>
        <w:ind w:start="360"/>
        <w:ind w:firstLine="360"/>
      </w:pPr>
      <w:r>
        <w:rPr/>
      </w:r>
      <w:r>
        <w:rPr/>
      </w:r>
      <w:r>
        <w:t xml:space="preserve">(a)  Except for the limited common elements described in </w:t>
      </w:r>
      <w:r>
        <w:t>section 1602‑102</w:t>
      </w:r>
      <w:r>
        <w:t xml:space="preserve">, paragraphs (2) and (4), the declaration shall specify to which unit or units each limited common element is allocated.  That allocation may not be altered without the consent of the unit owners whose units are affected.</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Except as the declaration otherwise provides, a limited common element may be reallocated by an amendment to the declaration upon application to the association by the unit owners between or among whose units the reallocation is made.  Unless the executive board determines within 30 days that the reallocation is unreasonable, the association shall prepare an amendment and any plats or plans needed to depict the amendment.  Upon execution by the unit owners, the amendment together with such plats or plans shall be recorded in the names of the parties and the condominium.</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(c)  A common element not previously allocated as a limited common element may not be so allocated, except pursuant to provisions in the declaration made in accordance with </w:t>
      </w:r>
      <w:r>
        <w:t>section 1602‑105</w:t>
      </w:r>
      <w:r>
        <w:t xml:space="preserve">, subsection (a), paragraph (7). The allocations shall be made by amendments to the declarations.</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§1602-108. Limited common elements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§1602-108. LIMITED COMMON ELEMENTS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