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§1603-110. Voting;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§1603-110. Voting;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§1603-110. VOTING;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