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1655</w:t>
        <w:t xml:space="preserve">.  </w:t>
      </w:r>
      <w:r>
        <w:rPr>
          <w:b/>
        </w:rPr>
        <w:t xml:space="preserve">Transfer by gift or exercise of power of appointment</w:t>
      </w:r>
    </w:p>
    <w:p>
      <w:pPr>
        <w:jc w:val="both"/>
        <w:spacing w:before="100" w:after="100"/>
        <w:ind w:start="360"/>
        <w:ind w:firstLine="360"/>
      </w:pPr>
      <w:r>
        <w:rPr/>
      </w:r>
      <w:r>
        <w:rPr/>
      </w:r>
      <w:r>
        <w:t xml:space="preserve">A person may make a transfer by irrevocable gift to, or the irrevocable exercise of a power of appointment in favor of, a custodian for the benefit of a minor pursuant to </w:t>
      </w:r>
      <w:r>
        <w:t>section 1660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§1655. Transfer by gift or exercise of power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§1655. Transfer by gift or exercise of power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§1655. TRANSFER BY GIFT OR EXERCISE OF POWER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