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§1662. Validity and effect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Validity and effect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§1662. VALIDITY AND EFFECT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