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Use of custodial property</w:t>
      </w:r>
    </w:p>
    <w:p>
      <w:pPr>
        <w:jc w:val="both"/>
        <w:spacing w:before="100" w:after="0"/>
        <w:ind w:start="360"/>
        <w:ind w:firstLine="360"/>
      </w:pPr>
      <w:r>
        <w:rPr>
          <w:b/>
        </w:rPr>
        <w:t>1</w:t>
        <w:t xml:space="preserve">.  </w:t>
      </w:r>
      <w:r>
        <w:rPr>
          <w:b/>
        </w:rPr>
        <w:t xml:space="preserve">Standard for expenditure of property.</w:t>
        <w:t xml:space="preserve"> </w:t>
      </w:r>
      <w:r>
        <w:t xml:space="preserve"> </w:t>
      </w:r>
      <w:r>
        <w:t xml:space="preserve">A custodian may deliver or pay to the minor or expend for the minor's benefit as much of the custodial property as the custodian considers advisable for the use and benefit of the minor, without court order and without regard to the duty or ability of the custodian personally or of any other person to support the minor; or any other income or property of the minor which may be applicable or available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Court may order expenditure.</w:t>
        <w:t xml:space="preserve"> </w:t>
      </w:r>
      <w:r>
        <w:t xml:space="preserve"> </w:t>
      </w:r>
      <w:r>
        <w:t xml:space="preserve">On petition of an interested person or the minor, if the minor has attained 14 years of age, the court may order the custodian to deliver or pay to the minor or expend for the minor's benefit as much of the custodial property as the court considers advisable for the use and benefit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Support of minor.</w:t>
        <w:t xml:space="preserve"> </w:t>
      </w:r>
      <w:r>
        <w:t xml:space="preserve"> </w:t>
      </w:r>
      <w:r>
        <w:t xml:space="preserve">A delivery, payment or expenditure under this section is in addition to, not in substitution for, and does not affect any obligation of a person to support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Use of custodial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§1665. USE OF CUSTODIAL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