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Effect on other statutes or common law</w:t>
      </w:r>
    </w:p>
    <w:p>
      <w:pPr>
        <w:jc w:val="both"/>
        <w:spacing w:before="100" w:after="100"/>
        <w:ind w:start="360"/>
        <w:ind w:firstLine="360"/>
      </w:pPr>
      <w:r>
        <w:rPr/>
      </w:r>
      <w:r>
        <w:rPr/>
      </w:r>
      <w:r>
        <w:t xml:space="preserve">This subchapter is not intended to limit or modify any obligation to disclose created by any other statute or that may exist in common law in order to avoid fraud, misrepresentation or deceit in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§178. Effect on other statutes or common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Effect on other statutes or common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§178. EFFECT ON OTHER STATUTES OR COMMON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