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496, §6 (AMD). PL 2019, c. 498, §21 (RP). PL 2023, c. 405, Pt. A, §120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§1979.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§1979.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