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Rulemaking</w:t>
      </w:r>
    </w:p>
    <w:p>
      <w:pPr>
        <w:jc w:val="both"/>
        <w:spacing w:before="100" w:after="100"/>
        <w:ind w:start="360"/>
        <w:ind w:firstLine="360"/>
      </w:pPr>
      <w:r>
        <w:rPr/>
      </w:r>
      <w:r>
        <w:rPr/>
      </w:r>
      <w:r>
        <w:t xml:space="preserve">The administrator may adopt rules to implement and administer this Act.  Rules adopted pursuant to this section are routine technical rules as defined in </w:t>
      </w:r>
      <w:r>
        <w:t>Title 5, chapter 375, subchapter 2‑A</w:t>
      </w:r>
      <w:r>
        <w:t xml:space="preserve">.  In addition, the Supreme Judicial Court may adopt rules for the provisions of this Act relating to lawyer's trust accounts.</w:t>
      </w:r>
      <w:r>
        <w:t xml:space="preserve">  </w:t>
      </w:r>
      <w:r xmlns:wp="http://schemas.openxmlformats.org/drawingml/2010/wordprocessingDrawing" xmlns:w15="http://schemas.microsoft.com/office/word/2012/wordml">
        <w:rPr>
          <w:rFonts w:ascii="Arial" w:hAnsi="Arial" w:cs="Arial"/>
          <w:sz w:val="22"/>
          <w:szCs w:val="22"/>
        </w:rPr>
        <w:t xml:space="preserve">[PL 2019, c. 571,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