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§2083. IF RECORDS SHOW MULTIPLE ADDRESSES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