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Records obtained in examination</w:t>
      </w:r>
    </w:p>
    <w:p>
      <w:pPr>
        <w:jc w:val="both"/>
        <w:spacing w:before="100" w:after="100"/>
        <w:ind w:start="360"/>
        <w:ind w:firstLine="360"/>
      </w:pPr>
      <w:r>
        <w:rPr/>
      </w:r>
      <w:r>
        <w:rPr/>
      </w:r>
      <w:r>
        <w:t xml:space="preserve">Records obtained and records compiled, including work papers, by the administrator in the course of conducting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Confidentiality and security provisions.</w:t>
        <w:t xml:space="preserve"> </w:t>
      </w:r>
      <w:r>
        <w:t xml:space="preserve"> </w:t>
      </w:r>
      <w:r>
        <w:t xml:space="preserve">Are subject to the confidentiality and security provisions of </w:t>
      </w:r>
      <w:r>
        <w:t>subchapter 14</w:t>
      </w:r>
      <w:r>
        <w:t xml:space="preserve"> and are not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Use to collect property, enforce the Act.</w:t>
        <w:t xml:space="preserve"> </w:t>
      </w:r>
      <w:r>
        <w:t xml:space="preserve"> </w:t>
      </w:r>
      <w:r>
        <w:t xml:space="preserve">May be used by the administrator in an action to collect property or otherwise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Use in joint examination.</w:t>
        <w:t xml:space="preserve"> </w:t>
      </w:r>
      <w:r>
        <w:t xml:space="preserve"> </w:t>
      </w:r>
      <w:r>
        <w:t xml:space="preserve">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Disclosure.</w:t>
        <w:t xml:space="preserve"> </w:t>
      </w:r>
      <w:r>
        <w:t xml:space="preserve"> </w:t>
      </w:r>
      <w:r>
        <w:t xml:space="preserve">Must be disclosed, on request, to the person that administers the unclaimed property law of another state for that state's use in circumstances equivalent to circumstances described in this subchapter, if the other state is required to maintain the confidentiality and security of information obtained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Produced pursuant to subpoena.</w:t>
        <w:t xml:space="preserve"> </w:t>
      </w:r>
      <w:r>
        <w:t xml:space="preserve"> </w:t>
      </w:r>
      <w:r>
        <w:t xml:space="preserve">Must be produced by the administrator under an administrative or judicial subpoena or administrative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Produced upon request in proceeding.</w:t>
        <w:t xml:space="preserve"> </w:t>
      </w:r>
      <w:r>
        <w:t xml:space="preserve"> </w:t>
      </w:r>
      <w:r>
        <w:t xml:space="preserve">Must be produced by the administrator on request of the person subject to the examination in an administrative or judicial proceeding relating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§2164. Records obtained in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Records obtained in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§2164. RECORDS OBTAINED IN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