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Prior conveyances</w:t>
      </w:r>
    </w:p>
    <w:p>
      <w:pPr>
        <w:jc w:val="both"/>
        <w:spacing w:before="100" w:after="100"/>
        <w:ind w:start="360"/>
        <w:ind w:firstLine="360"/>
      </w:pPr>
      <w:r>
        <w:rPr/>
      </w:r>
      <w:r>
        <w:rPr/>
      </w:r>
      <w:r>
        <w:t xml:space="preserve">Any conveyance made prior to October 3, 1973 which conveyed land abutting upon a town or private way, county road or highway shall be deemed to have conveyed all of the grantor's interest in the portion of such road or way, which abutted said land unless the grantor shall have expressly reserved his title to such road or way by a specific reference thereto contained in said conveyance. This section shall not apply to any conveyance of a lot or lots by reference to a recorded plan.</w:t>
      </w:r>
      <w:r>
        <w:t xml:space="preserve">  </w:t>
      </w:r>
      <w:r xmlns:wp="http://schemas.openxmlformats.org/drawingml/2010/wordprocessingDrawing" xmlns:w15="http://schemas.microsoft.com/office/word/2012/wordml">
        <w:rPr>
          <w:rFonts w:ascii="Arial" w:hAnsi="Arial" w:cs="Arial"/>
          <w:sz w:val="22"/>
          <w:szCs w:val="22"/>
        </w:rPr>
        <w:t xml:space="preserve">[PL 1973, c. 788,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1973, c. 788, §165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 Prior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Prior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§461. PRIOR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