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w:t>
        <w:t xml:space="preserve">.  </w:t>
      </w:r>
      <w:r>
        <w:rPr>
          <w:b/>
        </w:rPr>
        <w:t xml:space="preserve">Persons under a disability; 2-year period not suspended</w:t>
      </w:r>
    </w:p>
    <w:p>
      <w:pPr>
        <w:jc w:val="both"/>
        <w:spacing w:before="100" w:after="100"/>
        <w:ind w:start="360"/>
        <w:ind w:firstLine="360"/>
      </w:pPr>
      <w:r>
        <w:rPr/>
      </w:r>
      <w:r>
        <w:rPr/>
      </w:r>
      <w:r>
        <w:t xml:space="preserve">The notice specified in </w:t>
      </w:r>
      <w:r>
        <w:t>section 463</w:t>
      </w:r>
      <w:r>
        <w:t xml:space="preserve"> may be filed for record by the claimant or by any other person acting on behalf of any claimant who is under a disability or unable to assert a claim on his own behalf, but no disability or lack of knowledge of any kind shall suspend or extend the 2-year period provided for such filing.</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§464. Persons under a disability; 2-year period not suspended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 Persons under a disability; 2-year period not suspended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§464. PERSONS UNDER A DISABILITY; 2-YEAR PERIOD NOT SUSPENDED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