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w:t>
        <w:t xml:space="preserve">.  </w:t>
      </w:r>
      <w:r>
        <w:rPr>
          <w:b/>
        </w:rPr>
        <w:t xml:space="preserve">Failure of spouse to join in release of right and interest by descent</w:t>
      </w:r>
    </w:p>
    <w:p>
      <w:pPr>
        <w:jc w:val="both"/>
        <w:spacing w:before="100" w:after="100"/>
        <w:ind w:start="360"/>
        <w:ind w:firstLine="360"/>
      </w:pPr>
      <w:r>
        <w:rPr/>
      </w:r>
      <w:r>
        <w:rPr/>
      </w:r>
      <w:r>
        <w:t xml:space="preserve">If the spouse of a grantor in a conveyance of land fails to join in the conveyance in release of the spouse's right and interest by descent, such spouse and all persons claiming by, through or under such spouse shall be forever barred from claiming such right and interest by descent by real or mixed action for the recovery of lands, by entry, or otherwise unless such spouse has filed the notice provided in </w:t>
      </w:r>
      <w:r>
        <w:t>section 472</w:t>
      </w:r>
      <w:r>
        <w:t xml:space="preserve"> or has made some other claim of record within the time limited in </w:t>
      </w:r>
      <w:r>
        <w:t>section 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 Failure of spouse to join in release of right and interest by descent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 Failure of spouse to join in release of right and interest by descent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§470. FAILURE OF SPOUSE TO JOIN IN RELEASE OF RIGHT AND INTEREST BY DESCENT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