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Statutes of limitations not extended; bar or release not affected</w:t>
      </w:r>
    </w:p>
    <w:p>
      <w:pPr>
        <w:jc w:val="both"/>
        <w:spacing w:before="100" w:after="100"/>
        <w:ind w:start="360"/>
        <w:ind w:firstLine="360"/>
      </w:pPr>
      <w:r>
        <w:rPr/>
      </w:r>
      <w:r>
        <w:rPr/>
      </w:r>
      <w:r>
        <w:t xml:space="preserve">Nothing contained in this subchapter shall be construed to extend the period limited for the bringing of an action or for the doing of any other required act or to otherwise extend any statute of limitations; nor shall it be construed to affect the nature of the right and interest by descent, the time at which it becomes vested or any provision of law regarding its bar, release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1975, c. 511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 Statutes of limitations not extended; bar or release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Statutes of limitations not extended; bar or release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§474. STATUTES OF LIMITATIONS NOT EXTENDED; BAR OR RELEASE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