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Privacy duties of settlement agents</w:t>
      </w:r>
    </w:p>
    <w:p>
      <w:pPr>
        <w:jc w:val="both"/>
        <w:spacing w:before="100" w:after="100"/>
        <w:ind w:start="360"/>
        <w:ind w:firstLine="360"/>
      </w:pPr>
      <w:r>
        <w:rPr/>
      </w:r>
      <w:r>
        <w:rPr/>
      </w:r>
      <w:r>
        <w:t xml:space="preserve">A settlement agent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settlement agent is a financial institution as defined in those regulations.  This section is not intended to permit the release of health care information except as permitted by </w:t>
      </w:r>
      <w:r>
        <w:t>Title 22, section 1711‑C</w:t>
      </w:r>
      <w:r>
        <w:t xml:space="preserve"> or </w:t>
      </w:r>
      <w:r>
        <w:t>Title 24‑A, 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262, Pt. E,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§E5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§528. Privacy duties of settlement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Privacy duties of settlement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§528. PRIVACY DUTIES OF SETTLEMENT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