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Seals not required</w:t>
      </w:r>
    </w:p>
    <w:p>
      <w:pPr>
        <w:jc w:val="both"/>
        <w:spacing w:before="100" w:after="100"/>
        <w:ind w:start="360"/>
        <w:ind w:firstLine="360"/>
      </w:pPr>
      <w:r>
        <w:rPr/>
      </w:r>
      <w:r>
        <w:rPr/>
      </w:r>
      <w:r>
        <w:t xml:space="preserve">All deeds and other instruments, including powers of attorney, for the conveyances of real property in this State or any interest therein, and otherwise valid except that the same omitted to state any consideration therefor or that the same were not sealed by the grantors or any of them, shall be valid.</w:t>
      </w:r>
      <w:r>
        <w:t xml:space="preserve">  </w:t>
      </w:r>
      <w:r xmlns:wp="http://schemas.openxmlformats.org/drawingml/2010/wordprocessingDrawing" xmlns:w15="http://schemas.microsoft.com/office/word/2012/wordml">
        <w:rPr>
          <w:rFonts w:ascii="Arial" w:hAnsi="Arial" w:cs="Arial"/>
          <w:sz w:val="22"/>
          <w:szCs w:val="22"/>
        </w:rPr>
        <w:t xml:space="preserve">[PL 1969, c. 344,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 Seals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Seals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§774. SEALS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