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Land extending from one zone to another</w:t>
      </w:r>
    </w:p>
    <w:p>
      <w:pPr>
        <w:jc w:val="both"/>
        <w:spacing w:before="100" w:after="100"/>
        <w:ind w:start="360"/>
        <w:ind w:firstLine="360"/>
      </w:pPr>
      <w:r>
        <w:rPr/>
      </w:r>
      <w:r>
        <w:rPr/>
      </w:r>
      <w:r>
        <w:t xml:space="preserve">When any tract of land to be defined by a single description extends from one into another of the above coordinate zones, the positions of all points on its boundaries may be referred to any of the zones crossed, the zone that is used being specifically named in the description.</w:t>
      </w:r>
      <w:r>
        <w:t xml:space="preserve">  </w:t>
      </w:r>
      <w:r xmlns:wp="http://schemas.openxmlformats.org/drawingml/2010/wordprocessingDrawing" xmlns:w15="http://schemas.microsoft.com/office/word/2012/wordml">
        <w:rPr>
          <w:rFonts w:ascii="Arial" w:hAnsi="Arial" w:cs="Arial"/>
          <w:sz w:val="22"/>
          <w:szCs w:val="22"/>
        </w:rPr>
        <w:t xml:space="preserve">[PL 1999, c. 689, §3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§3 (AMD). PL 1999, c. 689,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§804. Land extending from one zone to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Land extending from one zone to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§804. LAND EXTENDING FROM ONE ZONE TO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