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Titles not defeated by trusts without notice 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§852. TITLES NOT DEFEATED BY TRUSTS WITHOUT NOTICE 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