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§3009. Public ways and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Public ways and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§3009. PUBLIC WAYS AND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