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§3047. Discharge or parole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§3047. Discharge or parole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§3047. DISCHARGE OR PAROLE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