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5210</w:t>
        <w:t xml:space="preserve">.  </w:t>
      </w:r>
      <w:r>
        <w:rPr>
          <w:b/>
        </w:rPr>
        <w:t xml:space="preserve">Duties</w:t>
      </w:r>
    </w:p>
    <w:p>
      <w:pPr>
        <w:jc w:val="both"/>
        <w:spacing w:before="100" w:after="100"/>
        <w:ind w:start="360"/>
        <w:ind w:firstLine="360"/>
      </w:pPr>
      <w:r>
        <w:rPr/>
      </w:r>
      <w:r>
        <w:rPr/>
      </w:r>
      <w:r>
        <w:t xml:space="preserve">The board shall: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Time of parole.</w:t>
        <w:t xml:space="preserve"> </w:t>
      </w:r>
      <w:r>
        <w:t xml:space="preserve"> </w:t>
      </w:r>
      <w:r>
        <w:t xml:space="preserve">Determine the time of parole for each committed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Parole revocation.</w:t>
        <w:t xml:space="preserve"> </w:t>
      </w:r>
      <w:r>
        <w:t xml:space="preserve"> </w:t>
      </w:r>
      <w:r>
        <w:t xml:space="preserve">Revoke parole when warranted due to a parole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Discharge from parole.</w:t>
        <w:t xml:space="preserve"> </w:t>
      </w:r>
      <w:r>
        <w:t xml:space="preserve"> </w:t>
      </w:r>
      <w:r>
        <w:t xml:space="preserve">Determine the time of discharge of parolees from parole supervision;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Advice to Governor.</w:t>
        <w:t xml:space="preserve"> </w:t>
      </w:r>
      <w:r>
        <w:t xml:space="preserve"> </w:t>
      </w:r>
      <w:r>
        <w:t xml:space="preserve">When requested by the Governor, advise him concerning applications for pardon, reprieve or commutation.</w:t>
      </w:r>
    </w:p>
    <w:p>
      <w:pPr>
        <w:jc w:val="both"/>
        <w:spacing w:before="100" w:after="0"/>
        <w:ind w:start="720"/>
      </w:pPr>
      <w:r>
        <w:rPr/>
        <w:t>A</w:t>
        <w:t xml:space="preserve">.  </w:t>
      </w:r>
      <w:r>
        <w:rPr/>
      </w:r>
      <w:r>
        <w:t xml:space="preserve">The board shall hold hearings, cause an investigation to be made and collect records to determine the facts and circumstances of a committed offender's crime, his past criminal record, his social history and his physical and mental condition as may bear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board shall make recommendations regarding action by the Governor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All information obtained under this subsection, and any report furnished to the Governor under this subsection, is confidential.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§5210.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§5210.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§5210.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