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9631</w:t>
        <w:t xml:space="preserve">.  </w:t>
      </w:r>
      <w:r>
        <w:rPr>
          <w:b/>
        </w:rPr>
        <w:t xml:space="preserve">Designation of courts</w:t>
      </w:r>
    </w:p>
    <w:p>
      <w:pPr>
        <w:jc w:val="both"/>
        <w:spacing w:before="100" w:after="100"/>
        <w:ind w:start="360"/>
        <w:ind w:firstLine="360"/>
      </w:pPr>
      <w:r>
        <w:rPr/>
      </w:r>
      <w:r>
        <w:rPr/>
      </w:r>
      <w:r>
        <w:t xml:space="preserve">The phrase "appropriate court" as used in </w:t>
      </w:r>
      <w:r>
        <w:t>Article I</w:t>
      </w:r>
      <w:r>
        <w:t xml:space="preserve">, with reference to the courts of this State, shall mean the District Court or the Superior Court, as applicable.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§9631. Designation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§9631. Designation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§9631. DESIGNATION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